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Liberation Sans" w:hAnsi="Liberation Sans"/>
          <w:b/>
          <w:color w:val="000000"/>
          <w:sz w:val="44"/>
        </w:rPr>
        <w:t>Inventory and Working Capital</w:t>
      </w:r>
    </w:p>
    <w:p>
      <w:r>
        <w:rPr>
          <w:rFonts w:ascii="Liberation Sans" w:hAnsi="Liberation Sans"/>
          <w:b/>
          <w:color w:val="000000"/>
          <w:sz w:val="24"/>
        </w:rPr>
        <w:t>Inventory may appear as an asset in the balance sheet, but slow-moving stock is also cash sitting on the shelf.</w:t>
      </w:r>
    </w:p>
    <w:p>
      <w:r>
        <w:t>Every item purchased uses working capital. The business recovers that cash only when the item is sold and the customer pays.</w:t>
      </w:r>
    </w:p>
    <w:p>
      <w:pPr>
        <w:pStyle w:val="Heading1"/>
      </w:pPr>
      <w:r>
        <w:t>Excess or slow-moving inventory can</w:t>
      </w:r>
    </w:p>
    <w:p>
      <w:pPr>
        <w:pStyle w:val="ListBullet"/>
        <w:spacing w:after="60" w:line="259" w:lineRule="auto"/>
        <w:ind w:left="403" w:hanging="259"/>
      </w:pPr>
      <w:r>
        <w:rPr>
          <w:rFonts w:ascii="Liberation Sans" w:hAnsi="Liberation Sans"/>
          <w:b w:val="0"/>
          <w:color w:val="000000"/>
          <w:sz w:val="22"/>
        </w:rPr>
        <w:t>Tie up cash needed for salaries, suppliers and operating expenses</w:t>
      </w:r>
    </w:p>
    <w:p>
      <w:pPr>
        <w:pStyle w:val="ListBullet"/>
        <w:spacing w:after="60" w:line="259" w:lineRule="auto"/>
        <w:ind w:left="403" w:hanging="259"/>
      </w:pPr>
      <w:r>
        <w:rPr>
          <w:rFonts w:ascii="Liberation Sans" w:hAnsi="Liberation Sans"/>
          <w:b w:val="0"/>
          <w:color w:val="000000"/>
          <w:sz w:val="22"/>
        </w:rPr>
        <w:t>Increase storage, insurance and handling costs</w:t>
      </w:r>
    </w:p>
    <w:p>
      <w:pPr>
        <w:pStyle w:val="ListBullet"/>
        <w:spacing w:after="60" w:line="259" w:lineRule="auto"/>
        <w:ind w:left="403" w:hanging="259"/>
      </w:pPr>
      <w:r>
        <w:rPr>
          <w:rFonts w:ascii="Liberation Sans" w:hAnsi="Liberation Sans"/>
          <w:b w:val="0"/>
          <w:color w:val="000000"/>
          <w:sz w:val="22"/>
        </w:rPr>
        <w:t>Create damage, expiry and obsolescence risks</w:t>
      </w:r>
    </w:p>
    <w:p>
      <w:pPr>
        <w:pStyle w:val="ListBullet"/>
        <w:spacing w:after="60" w:line="259" w:lineRule="auto"/>
        <w:ind w:left="403" w:hanging="259"/>
      </w:pPr>
      <w:r>
        <w:rPr>
          <w:rFonts w:ascii="Liberation Sans" w:hAnsi="Liberation Sans"/>
          <w:b w:val="0"/>
          <w:color w:val="000000"/>
          <w:sz w:val="22"/>
        </w:rPr>
        <w:t>Lead to discounts or eventual write-offs</w:t>
      </w:r>
    </w:p>
    <w:p>
      <w:pPr>
        <w:pStyle w:val="ListBullet"/>
        <w:spacing w:after="60" w:line="259" w:lineRule="auto"/>
        <w:ind w:left="403" w:hanging="259"/>
      </w:pPr>
      <w:r>
        <w:rPr>
          <w:rFonts w:ascii="Liberation Sans" w:hAnsi="Liberation Sans"/>
          <w:b w:val="0"/>
          <w:color w:val="000000"/>
          <w:sz w:val="22"/>
        </w:rPr>
        <w:t>Conceal weaknesses in purchasing and demand forecasting</w:t>
      </w:r>
    </w:p>
    <w:p>
      <w:pPr>
        <w:pStyle w:val="Heading1"/>
      </w:pPr>
      <w:r>
        <w:t>A useful inventory review should consider</w:t>
      </w:r>
    </w:p>
    <w:p>
      <w:pPr>
        <w:pStyle w:val="ListBullet"/>
        <w:spacing w:after="60" w:line="259" w:lineRule="auto"/>
        <w:ind w:left="403" w:hanging="259"/>
      </w:pPr>
      <w:r>
        <w:rPr>
          <w:rFonts w:ascii="Liberation Sans" w:hAnsi="Liberation Sans"/>
          <w:b w:val="0"/>
          <w:color w:val="000000"/>
          <w:sz w:val="22"/>
        </w:rPr>
        <w:t>Quantity on hand</w:t>
      </w:r>
    </w:p>
    <w:p>
      <w:pPr>
        <w:pStyle w:val="ListBullet"/>
        <w:spacing w:after="60" w:line="259" w:lineRule="auto"/>
        <w:ind w:left="403" w:hanging="259"/>
      </w:pPr>
      <w:r>
        <w:rPr>
          <w:rFonts w:ascii="Liberation Sans" w:hAnsi="Liberation Sans"/>
          <w:b w:val="0"/>
          <w:color w:val="000000"/>
          <w:sz w:val="22"/>
        </w:rPr>
        <w:t>Date of purchase or production</w:t>
      </w:r>
    </w:p>
    <w:p>
      <w:pPr>
        <w:pStyle w:val="ListBullet"/>
        <w:spacing w:after="60" w:line="259" w:lineRule="auto"/>
        <w:ind w:left="403" w:hanging="259"/>
      </w:pPr>
      <w:r>
        <w:rPr>
          <w:rFonts w:ascii="Liberation Sans" w:hAnsi="Liberation Sans"/>
          <w:b w:val="0"/>
          <w:color w:val="000000"/>
          <w:sz w:val="22"/>
        </w:rPr>
        <w:t>Recent sales movement</w:t>
      </w:r>
    </w:p>
    <w:p>
      <w:pPr>
        <w:pStyle w:val="ListBullet"/>
        <w:spacing w:after="60" w:line="259" w:lineRule="auto"/>
        <w:ind w:left="403" w:hanging="259"/>
      </w:pPr>
      <w:r>
        <w:rPr>
          <w:rFonts w:ascii="Liberation Sans" w:hAnsi="Liberation Sans"/>
          <w:b w:val="0"/>
          <w:color w:val="000000"/>
          <w:sz w:val="22"/>
        </w:rPr>
        <w:t>Expected gross margin</w:t>
      </w:r>
    </w:p>
    <w:p>
      <w:pPr>
        <w:pStyle w:val="ListBullet"/>
        <w:spacing w:after="60" w:line="259" w:lineRule="auto"/>
        <w:ind w:left="403" w:hanging="259"/>
      </w:pPr>
      <w:r>
        <w:rPr>
          <w:rFonts w:ascii="Liberation Sans" w:hAnsi="Liberation Sans"/>
          <w:b w:val="0"/>
          <w:color w:val="000000"/>
          <w:sz w:val="22"/>
        </w:rPr>
        <w:t>Reorder quantities and lead times</w:t>
      </w:r>
    </w:p>
    <w:p>
      <w:pPr>
        <w:pStyle w:val="ListBullet"/>
        <w:spacing w:after="60" w:line="259" w:lineRule="auto"/>
        <w:ind w:left="403" w:hanging="259"/>
      </w:pPr>
      <w:r>
        <w:rPr>
          <w:rFonts w:ascii="Liberation Sans" w:hAnsi="Liberation Sans"/>
          <w:b w:val="0"/>
          <w:color w:val="000000"/>
          <w:sz w:val="22"/>
        </w:rPr>
        <w:t>Damaged, obsolete or discontinued items</w:t>
      </w:r>
    </w:p>
    <w:p>
      <w:pPr>
        <w:pStyle w:val="ListBullet"/>
        <w:spacing w:after="60" w:line="259" w:lineRule="auto"/>
        <w:ind w:left="403" w:hanging="259"/>
      </w:pPr>
      <w:r>
        <w:rPr>
          <w:rFonts w:ascii="Liberation Sans" w:hAnsi="Liberation Sans"/>
          <w:b w:val="0"/>
          <w:color w:val="000000"/>
          <w:sz w:val="22"/>
        </w:rPr>
        <w:t>Working capital invested in slow-moving stock</w:t>
      </w:r>
    </w:p>
    <w:p>
      <w:r>
        <w:rPr>
          <w:rFonts w:ascii="Liberation Sans" w:hAnsi="Liberation Sans"/>
          <w:b/>
          <w:color w:val="000000"/>
          <w:sz w:val="22"/>
        </w:rPr>
        <w:t xml:space="preserve">The answer is not simply to hold less inventory. </w:t>
      </w:r>
      <w:r>
        <w:rPr>
          <w:rFonts w:ascii="Liberation Sans" w:hAnsi="Liberation Sans"/>
          <w:b w:val="0"/>
          <w:color w:val="000000"/>
          <w:sz w:val="22"/>
        </w:rPr>
        <w:t>Insufficient stock can also result in missed sales and operational delays.</w:t>
      </w:r>
    </w:p>
    <w:p>
      <w:r>
        <w:rPr>
          <w:rFonts w:ascii="Liberation Sans" w:hAnsi="Liberation Sans"/>
          <w:b/>
          <w:color w:val="000000"/>
          <w:sz w:val="22"/>
        </w:rPr>
        <w:t>The objective is to maintain the right stock, in the right quantity, based on realistic demand and replenishment requirements.</w:t>
      </w:r>
    </w:p>
    <w:sectPr w:rsidR="00FC693F" w:rsidRPr="0006063C" w:rsidSect="00034616"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Liberation Sans" w:hAnsi="Liberation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76" w:lineRule="auto" w:before="240"/>
      <w:contextualSpacing/>
    </w:pPr>
    <w:rPr>
      <w:rFonts w:asciiTheme="majorHAnsi" w:eastAsiaTheme="majorEastAsia" w:hAnsiTheme="majorHAnsi" w:cstheme="majorBidi" w:ascii="Liberation Sans" w:hAnsi="Liberation Sans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 and Working Capital</dc:title>
  <dc:subject>Educational content for Malaysian SME owners</dc:subject>
  <dc:creator>TM Management Consultancy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